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5E" w:rsidRPr="00FB267D" w:rsidRDefault="001C285E" w:rsidP="001C285E">
      <w:pPr>
        <w:pStyle w:val="NormalWeb"/>
        <w:rPr>
          <w:rFonts w:ascii="Univers" w:hAnsi="Univers"/>
        </w:rPr>
      </w:pPr>
      <w:r w:rsidRPr="00FB267D">
        <w:rPr>
          <w:rStyle w:val="subhead-1"/>
          <w:rFonts w:ascii="Univers" w:hAnsi="Univers"/>
          <w:b/>
          <w:bCs/>
        </w:rPr>
        <w:t>Providers on Probation</w:t>
      </w:r>
    </w:p>
    <w:p w:rsidR="00FB267D" w:rsidRDefault="00FB267D" w:rsidP="006C3A9F">
      <w:pPr>
        <w:numPr>
          <w:ilvl w:val="0"/>
          <w:numId w:val="1"/>
        </w:numPr>
        <w:spacing w:after="0" w:line="240" w:lineRule="auto"/>
        <w:rPr>
          <w:rFonts w:ascii="Univers" w:eastAsia="Times New Roman" w:hAnsi="Univers" w:cs="Times New Roman"/>
          <w:sz w:val="24"/>
          <w:szCs w:val="24"/>
        </w:rPr>
      </w:pPr>
      <w:r w:rsidRPr="00FB267D">
        <w:rPr>
          <w:rFonts w:ascii="Univers" w:eastAsia="Times New Roman" w:hAnsi="Univers" w:cs="Times New Roman"/>
          <w:b/>
          <w:bCs/>
          <w:sz w:val="24"/>
          <w:szCs w:val="24"/>
        </w:rPr>
        <w:t xml:space="preserve">Probation </w:t>
      </w:r>
      <w:r w:rsidRPr="00FB267D">
        <w:rPr>
          <w:rFonts w:ascii="Univers" w:eastAsia="Times New Roman" w:hAnsi="Univers" w:cs="Times New Roman"/>
          <w:sz w:val="24"/>
          <w:szCs w:val="24"/>
        </w:rPr>
        <w:t xml:space="preserve">is given to accredited providers that have serious problems meeting ACCME </w:t>
      </w:r>
      <w:hyperlink r:id="rId5" w:tgtFrame="_blank" w:history="1"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>requirements</w:t>
        </w:r>
      </w:hyperlink>
      <w:r w:rsidRPr="00FB267D">
        <w:rPr>
          <w:rFonts w:ascii="Univers" w:eastAsia="Times New Roman" w:hAnsi="Univers" w:cs="Times New Roman"/>
          <w:sz w:val="24"/>
          <w:szCs w:val="24"/>
        </w:rPr>
        <w:t xml:space="preserve">. Providers on Probation are required to submit </w:t>
      </w:r>
      <w:hyperlink r:id="rId6" w:tgtFrame="_blank" w:history="1"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>progress reports</w:t>
        </w:r>
      </w:hyperlink>
      <w:r w:rsidRPr="00FB267D">
        <w:rPr>
          <w:rFonts w:ascii="Univers" w:eastAsia="Times New Roman" w:hAnsi="Univers" w:cs="Times New Roman"/>
          <w:sz w:val="24"/>
          <w:szCs w:val="24"/>
        </w:rPr>
        <w:t xml:space="preserve">. Providers with Accreditation may have their status changed to Probation if their </w:t>
      </w:r>
      <w:hyperlink r:id="rId7" w:tgtFrame="_blank" w:history="1"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>progress reports</w:t>
        </w:r>
      </w:hyperlink>
      <w:r w:rsidRPr="00FB267D">
        <w:rPr>
          <w:rFonts w:ascii="Univers" w:eastAsia="Times New Roman" w:hAnsi="Univers" w:cs="Times New Roman"/>
          <w:sz w:val="24"/>
          <w:szCs w:val="24"/>
        </w:rPr>
        <w:t xml:space="preserve"> do not demonstrate correction of non</w:t>
      </w:r>
      <w:r w:rsidR="006C3A9F">
        <w:rPr>
          <w:rFonts w:ascii="Univers" w:eastAsia="Times New Roman" w:hAnsi="Univers" w:cs="Times New Roman"/>
          <w:sz w:val="24"/>
          <w:szCs w:val="24"/>
        </w:rPr>
        <w:t>-</w:t>
      </w:r>
      <w:r w:rsidRPr="00FB267D">
        <w:rPr>
          <w:rFonts w:ascii="Univers" w:eastAsia="Times New Roman" w:hAnsi="Univers" w:cs="Times New Roman"/>
          <w:sz w:val="24"/>
          <w:szCs w:val="24"/>
        </w:rPr>
        <w:t>compliance issues. Most providers on Probation implement improvements quickly, return to a status of Accreditation, and sustain compliance. Providers cannot remain on Probation for longer than two years.</w:t>
      </w:r>
    </w:p>
    <w:p w:rsidR="006C3A9F" w:rsidRPr="006C3A9F" w:rsidRDefault="006C3A9F" w:rsidP="006C3A9F">
      <w:pPr>
        <w:spacing w:after="0" w:line="240" w:lineRule="auto"/>
        <w:rPr>
          <w:rFonts w:ascii="Univers" w:eastAsia="Times New Roman" w:hAnsi="Univers" w:cs="Times New Roman"/>
          <w:sz w:val="24"/>
          <w:szCs w:val="24"/>
        </w:rPr>
      </w:pPr>
    </w:p>
    <w:p w:rsidR="00FB267D" w:rsidRPr="00FB267D" w:rsidRDefault="00FB267D" w:rsidP="006C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nivers" w:eastAsia="Times New Roman" w:hAnsi="Univers" w:cs="Times New Roman"/>
          <w:sz w:val="24"/>
          <w:szCs w:val="24"/>
        </w:rPr>
      </w:pPr>
      <w:r w:rsidRPr="00FB267D">
        <w:rPr>
          <w:rFonts w:ascii="Univers" w:eastAsia="Times New Roman" w:hAnsi="Univers" w:cs="Times New Roman"/>
          <w:b/>
          <w:bCs/>
          <w:sz w:val="24"/>
          <w:szCs w:val="24"/>
        </w:rPr>
        <w:t>Non</w:t>
      </w:r>
      <w:r w:rsidR="006C3A9F">
        <w:rPr>
          <w:rFonts w:ascii="Univers" w:eastAsia="Times New Roman" w:hAnsi="Univers" w:cs="Times New Roman"/>
          <w:b/>
          <w:bCs/>
          <w:sz w:val="24"/>
          <w:szCs w:val="24"/>
        </w:rPr>
        <w:t>-</w:t>
      </w:r>
      <w:r w:rsidRPr="00FB267D">
        <w:rPr>
          <w:rFonts w:ascii="Univers" w:eastAsia="Times New Roman" w:hAnsi="Univers" w:cs="Times New Roman"/>
          <w:b/>
          <w:bCs/>
          <w:sz w:val="24"/>
          <w:szCs w:val="24"/>
        </w:rPr>
        <w:t>accreditation</w:t>
      </w:r>
      <w:r w:rsidRPr="00FB267D">
        <w:rPr>
          <w:rFonts w:ascii="Univers" w:eastAsia="Times New Roman" w:hAnsi="Univers" w:cs="Times New Roman"/>
          <w:sz w:val="24"/>
          <w:szCs w:val="24"/>
        </w:rPr>
        <w:t>: Although Non</w:t>
      </w:r>
      <w:r w:rsidR="006C3A9F">
        <w:rPr>
          <w:rFonts w:ascii="Univers" w:eastAsia="Times New Roman" w:hAnsi="Univers" w:cs="Times New Roman"/>
          <w:sz w:val="24"/>
          <w:szCs w:val="24"/>
        </w:rPr>
        <w:t>-</w:t>
      </w:r>
      <w:r w:rsidRPr="00FB267D">
        <w:rPr>
          <w:rFonts w:ascii="Univers" w:eastAsia="Times New Roman" w:hAnsi="Univers" w:cs="Times New Roman"/>
          <w:sz w:val="24"/>
          <w:szCs w:val="24"/>
        </w:rPr>
        <w:t xml:space="preserve">accreditation decisions are rare, the </w:t>
      </w:r>
      <w:r w:rsidR="00CA4CE2">
        <w:rPr>
          <w:rFonts w:ascii="Univers" w:eastAsia="Times New Roman" w:hAnsi="Univers" w:cs="Times New Roman"/>
          <w:sz w:val="24"/>
          <w:szCs w:val="24"/>
        </w:rPr>
        <w:t>ISMA</w:t>
      </w:r>
      <w:r w:rsidRPr="00FB267D">
        <w:rPr>
          <w:rFonts w:ascii="Univers" w:eastAsia="Times New Roman" w:hAnsi="Univers" w:cs="Times New Roman"/>
          <w:sz w:val="24"/>
          <w:szCs w:val="24"/>
        </w:rPr>
        <w:t xml:space="preserve"> does make that determination in the following circumstances:</w:t>
      </w:r>
    </w:p>
    <w:p w:rsidR="00FB267D" w:rsidRPr="00FB267D" w:rsidRDefault="00FB267D" w:rsidP="00FB267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Univers" w:eastAsia="Times New Roman" w:hAnsi="Univers" w:cs="Times New Roman"/>
          <w:sz w:val="24"/>
          <w:szCs w:val="24"/>
        </w:rPr>
      </w:pPr>
      <w:r w:rsidRPr="00FB267D">
        <w:rPr>
          <w:rFonts w:ascii="Univers" w:eastAsia="Times New Roman" w:hAnsi="Univers" w:cs="Times New Roman"/>
          <w:sz w:val="24"/>
          <w:szCs w:val="24"/>
        </w:rPr>
        <w:t xml:space="preserve">An </w:t>
      </w:r>
      <w:hyperlink r:id="rId8" w:tgtFrame="_blank" w:history="1"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>initial applicant</w:t>
        </w:r>
      </w:hyperlink>
      <w:r w:rsidRPr="00FB267D">
        <w:rPr>
          <w:rFonts w:ascii="Univers" w:eastAsia="Times New Roman" w:hAnsi="Univers" w:cs="Times New Roman"/>
          <w:sz w:val="24"/>
          <w:szCs w:val="24"/>
        </w:rPr>
        <w:t xml:space="preserve"> is not in compliance with any one of the criteria required to achieve Provisional Accreditation.</w:t>
      </w:r>
    </w:p>
    <w:p w:rsidR="00FB267D" w:rsidRPr="00FB267D" w:rsidRDefault="00FB267D" w:rsidP="00FB267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Univers" w:eastAsia="Times New Roman" w:hAnsi="Univers" w:cs="Times New Roman"/>
          <w:sz w:val="24"/>
          <w:szCs w:val="24"/>
        </w:rPr>
      </w:pPr>
      <w:r w:rsidRPr="00FB267D">
        <w:rPr>
          <w:rFonts w:ascii="Univers" w:eastAsia="Times New Roman" w:hAnsi="Univers" w:cs="Times New Roman"/>
          <w:sz w:val="24"/>
          <w:szCs w:val="24"/>
        </w:rPr>
        <w:t>A provisionally accredited provider has serious non</w:t>
      </w:r>
      <w:r w:rsidR="006C3A9F">
        <w:rPr>
          <w:rFonts w:ascii="Univers" w:eastAsia="Times New Roman" w:hAnsi="Univers" w:cs="Times New Roman"/>
          <w:sz w:val="24"/>
          <w:szCs w:val="24"/>
        </w:rPr>
        <w:t>-</w:t>
      </w:r>
      <w:r w:rsidRPr="00FB267D">
        <w:rPr>
          <w:rFonts w:ascii="Univers" w:eastAsia="Times New Roman" w:hAnsi="Univers" w:cs="Times New Roman"/>
          <w:sz w:val="24"/>
          <w:szCs w:val="24"/>
        </w:rPr>
        <w:t>compliance issues.</w:t>
      </w:r>
    </w:p>
    <w:p w:rsidR="00FB267D" w:rsidRPr="00FB267D" w:rsidRDefault="00FB267D" w:rsidP="00FB267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Univers" w:eastAsia="Times New Roman" w:hAnsi="Univers" w:cs="Times New Roman"/>
          <w:sz w:val="24"/>
          <w:szCs w:val="24"/>
        </w:rPr>
      </w:pPr>
      <w:r w:rsidRPr="00FB267D">
        <w:rPr>
          <w:rFonts w:ascii="Univers" w:eastAsia="Times New Roman" w:hAnsi="Univers" w:cs="Times New Roman"/>
          <w:sz w:val="24"/>
          <w:szCs w:val="24"/>
        </w:rPr>
        <w:t>A provider on Probation fails to demonstrate in one or more progress reports that it has achieved compliance in all Accreditation Criteria within two years.</w:t>
      </w:r>
    </w:p>
    <w:p w:rsidR="00FB267D" w:rsidRDefault="00FB267D" w:rsidP="00FB267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Univers" w:eastAsia="Times New Roman" w:hAnsi="Univers" w:cs="Times New Roman"/>
          <w:sz w:val="24"/>
          <w:szCs w:val="24"/>
        </w:rPr>
      </w:pPr>
      <w:r w:rsidRPr="00FB267D">
        <w:rPr>
          <w:rFonts w:ascii="Univers" w:eastAsia="Times New Roman" w:hAnsi="Univers" w:cs="Times New Roman"/>
          <w:sz w:val="24"/>
          <w:szCs w:val="24"/>
        </w:rPr>
        <w:t>In rare circumstances where there are compelling reasons, an accredited provider may have its status changed to Non</w:t>
      </w:r>
      <w:r w:rsidR="006C3A9F">
        <w:rPr>
          <w:rFonts w:ascii="Univers" w:eastAsia="Times New Roman" w:hAnsi="Univers" w:cs="Times New Roman"/>
          <w:sz w:val="24"/>
          <w:szCs w:val="24"/>
        </w:rPr>
        <w:t>-</w:t>
      </w:r>
      <w:r w:rsidRPr="00FB267D">
        <w:rPr>
          <w:rFonts w:ascii="Univers" w:eastAsia="Times New Roman" w:hAnsi="Univers" w:cs="Times New Roman"/>
          <w:sz w:val="24"/>
          <w:szCs w:val="24"/>
        </w:rPr>
        <w:t>accreditation. Examples of such circumstances include an accredited provider that has demonstrated recurrent non</w:t>
      </w:r>
      <w:r w:rsidR="006C3A9F">
        <w:rPr>
          <w:rFonts w:ascii="Univers" w:eastAsia="Times New Roman" w:hAnsi="Univers" w:cs="Times New Roman"/>
          <w:sz w:val="24"/>
          <w:szCs w:val="24"/>
        </w:rPr>
        <w:t>-</w:t>
      </w:r>
      <w:r w:rsidRPr="00FB267D">
        <w:rPr>
          <w:rFonts w:ascii="Univers" w:eastAsia="Times New Roman" w:hAnsi="Univers" w:cs="Times New Roman"/>
          <w:sz w:val="24"/>
          <w:szCs w:val="24"/>
        </w:rPr>
        <w:t xml:space="preserve">compliance in the </w:t>
      </w:r>
      <w:hyperlink r:id="rId9" w:tgtFrame="_blank" w:history="1"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>Standards for Commercial Support: Standards to Ensure Independence in CME Activities</w:t>
        </w:r>
        <w:r w:rsidRPr="00FB267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℠</w:t>
        </w:r>
      </w:hyperlink>
      <w:r w:rsidRPr="00FB267D">
        <w:rPr>
          <w:rFonts w:ascii="Univers" w:eastAsia="Times New Roman" w:hAnsi="Univers" w:cs="Times New Roman"/>
          <w:sz w:val="24"/>
          <w:szCs w:val="24"/>
        </w:rPr>
        <w:t xml:space="preserve"> and/or has received previous decisions of Probation, and/or has engaged in joint </w:t>
      </w:r>
      <w:proofErr w:type="spellStart"/>
      <w:r w:rsidRPr="00FB267D">
        <w:rPr>
          <w:rFonts w:ascii="Univers" w:eastAsia="Times New Roman" w:hAnsi="Univers" w:cs="Times New Roman"/>
          <w:sz w:val="24"/>
          <w:szCs w:val="24"/>
        </w:rPr>
        <w:t>providerships</w:t>
      </w:r>
      <w:proofErr w:type="spellEnd"/>
      <w:r w:rsidRPr="00FB267D">
        <w:rPr>
          <w:rFonts w:ascii="Univers" w:eastAsia="Times New Roman" w:hAnsi="Univers" w:cs="Times New Roman"/>
          <w:sz w:val="24"/>
          <w:szCs w:val="24"/>
        </w:rPr>
        <w:t xml:space="preserve"> while on Probation in violation of </w:t>
      </w:r>
      <w:hyperlink r:id="rId10" w:tgtFrame="_blank" w:history="1"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 xml:space="preserve">joint </w:t>
        </w:r>
        <w:proofErr w:type="spellStart"/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>providership</w:t>
        </w:r>
        <w:proofErr w:type="spellEnd"/>
        <w:r w:rsidRPr="00FB267D">
          <w:rPr>
            <w:rFonts w:ascii="Univers" w:eastAsia="Times New Roman" w:hAnsi="Univers" w:cs="Times New Roman"/>
            <w:color w:val="0000FF"/>
            <w:sz w:val="24"/>
            <w:szCs w:val="24"/>
            <w:u w:val="single"/>
          </w:rPr>
          <w:t xml:space="preserve"> policy</w:t>
        </w:r>
      </w:hyperlink>
      <w:r w:rsidRPr="00FB267D">
        <w:rPr>
          <w:rFonts w:ascii="Univers" w:eastAsia="Times New Roman" w:hAnsi="Univers" w:cs="Times New Roman"/>
          <w:sz w:val="24"/>
          <w:szCs w:val="24"/>
        </w:rPr>
        <w:t>.</w:t>
      </w:r>
    </w:p>
    <w:p w:rsidR="00FB267D" w:rsidRPr="00FB267D" w:rsidRDefault="00FB267D" w:rsidP="00FB267D">
      <w:pPr>
        <w:pStyle w:val="NormalWeb"/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Univers" w:hAnsi="Univers"/>
        </w:rPr>
      </w:pPr>
      <w:r w:rsidRPr="00FB267D">
        <w:rPr>
          <w:rStyle w:val="body-text"/>
          <w:rFonts w:ascii="Univers" w:hAnsi="Univers"/>
        </w:rPr>
        <w:t>If a provider is placed on Probation, it may not jointly provide CME activities with non</w:t>
      </w:r>
      <w:r w:rsidR="006C3A9F">
        <w:rPr>
          <w:rStyle w:val="body-text"/>
          <w:rFonts w:ascii="Univers" w:hAnsi="Univers"/>
        </w:rPr>
        <w:t>-</w:t>
      </w:r>
      <w:r w:rsidRPr="00FB267D">
        <w:rPr>
          <w:rStyle w:val="body-text"/>
          <w:rFonts w:ascii="Univers" w:hAnsi="Univers"/>
        </w:rPr>
        <w:t xml:space="preserve">accredited providers, with the exception of those activities that were contracted prior to the Probation decision. A provider that is placed on Probation must inform the </w:t>
      </w:r>
      <w:r w:rsidR="00CA4CE2">
        <w:rPr>
          <w:rStyle w:val="body-text"/>
          <w:rFonts w:ascii="Univers" w:hAnsi="Univers"/>
        </w:rPr>
        <w:t>ISMA</w:t>
      </w:r>
      <w:r w:rsidRPr="00FB267D">
        <w:rPr>
          <w:rStyle w:val="body-text"/>
          <w:rFonts w:ascii="Univers" w:hAnsi="Univers"/>
        </w:rPr>
        <w:t xml:space="preserve"> of all existing joint </w:t>
      </w:r>
      <w:proofErr w:type="spellStart"/>
      <w:r w:rsidRPr="00FB267D">
        <w:rPr>
          <w:rStyle w:val="body-text"/>
          <w:rFonts w:ascii="Univers" w:hAnsi="Univers"/>
        </w:rPr>
        <w:t>providership</w:t>
      </w:r>
      <w:proofErr w:type="spellEnd"/>
      <w:r w:rsidRPr="00FB267D">
        <w:rPr>
          <w:rStyle w:val="body-text"/>
          <w:rFonts w:ascii="Univers" w:hAnsi="Univers"/>
        </w:rPr>
        <w:t xml:space="preserve"> relationships, and must notify its current contracted joint providers of its probationary status.</w:t>
      </w:r>
    </w:p>
    <w:p w:rsidR="00FB267D" w:rsidRPr="006C3A9F" w:rsidRDefault="00FB267D" w:rsidP="006C3A9F">
      <w:pPr>
        <w:pStyle w:val="NormalWeb"/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Univers" w:hAnsi="Univers"/>
        </w:rPr>
      </w:pPr>
      <w:r w:rsidRPr="006C3A9F">
        <w:rPr>
          <w:rStyle w:val="body-text"/>
          <w:rFonts w:ascii="Univers" w:hAnsi="Univers"/>
        </w:rPr>
        <w:t xml:space="preserve">Providers that receive a decision of Probation in two consecutive accreditation terms are prohibited from jointly providing activities until they regain their accreditation status. If the provider is found to be working in joint </w:t>
      </w:r>
      <w:proofErr w:type="spellStart"/>
      <w:r w:rsidRPr="006C3A9F">
        <w:rPr>
          <w:rStyle w:val="body-text"/>
          <w:rFonts w:ascii="Univers" w:hAnsi="Univers"/>
        </w:rPr>
        <w:t>providership</w:t>
      </w:r>
      <w:proofErr w:type="spellEnd"/>
      <w:r w:rsidRPr="006C3A9F">
        <w:rPr>
          <w:rStyle w:val="body-text"/>
          <w:rFonts w:ascii="Univers" w:hAnsi="Univers"/>
        </w:rPr>
        <w:t xml:space="preserve"> while under this probation, the </w:t>
      </w:r>
      <w:r w:rsidR="00CA4CE2" w:rsidRPr="006C3A9F">
        <w:rPr>
          <w:rStyle w:val="body-text"/>
          <w:rFonts w:ascii="Univers" w:hAnsi="Univers"/>
        </w:rPr>
        <w:t>ISMA</w:t>
      </w:r>
      <w:r w:rsidRPr="006C3A9F">
        <w:rPr>
          <w:rStyle w:val="body-text"/>
          <w:rFonts w:ascii="Univers" w:hAnsi="Univers"/>
        </w:rPr>
        <w:t xml:space="preserve"> will immediately change the provider's status to Non</w:t>
      </w:r>
      <w:r w:rsidR="006C3A9F">
        <w:rPr>
          <w:rStyle w:val="body-text"/>
          <w:rFonts w:ascii="Univers" w:hAnsi="Univers"/>
        </w:rPr>
        <w:t>-</w:t>
      </w:r>
      <w:r w:rsidRPr="006C3A9F">
        <w:rPr>
          <w:rStyle w:val="body-text"/>
          <w:rFonts w:ascii="Univers" w:hAnsi="Univers"/>
        </w:rPr>
        <w:t>accreditation.</w:t>
      </w:r>
    </w:p>
    <w:p w:rsidR="00FB267D" w:rsidRPr="00FB267D" w:rsidRDefault="00FB267D" w:rsidP="001C285E">
      <w:pPr>
        <w:pStyle w:val="NormalWeb"/>
        <w:rPr>
          <w:rStyle w:val="body-text"/>
          <w:rFonts w:ascii="Univers" w:hAnsi="Univers"/>
        </w:rPr>
      </w:pPr>
    </w:p>
    <w:p w:rsidR="00FB267D" w:rsidRDefault="00FB267D" w:rsidP="001C285E">
      <w:pPr>
        <w:pStyle w:val="NormalWeb"/>
      </w:pPr>
    </w:p>
    <w:p w:rsidR="00B45AD1" w:rsidRDefault="0041281B"/>
    <w:sectPr w:rsidR="00B4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45AE"/>
    <w:multiLevelType w:val="multilevel"/>
    <w:tmpl w:val="B45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23EBE"/>
    <w:multiLevelType w:val="multilevel"/>
    <w:tmpl w:val="A20C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E"/>
    <w:rsid w:val="001C285E"/>
    <w:rsid w:val="006C3A9F"/>
    <w:rsid w:val="008F196D"/>
    <w:rsid w:val="00A61C94"/>
    <w:rsid w:val="00BD2FD4"/>
    <w:rsid w:val="00CA4CE2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BC4F-14C3-42E9-AA41-682890C0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-1">
    <w:name w:val="subhead-1"/>
    <w:basedOn w:val="DefaultParagraphFont"/>
    <w:rsid w:val="001C285E"/>
  </w:style>
  <w:style w:type="character" w:customStyle="1" w:styleId="body-text">
    <w:name w:val="body-text"/>
    <w:basedOn w:val="DefaultParagraphFont"/>
    <w:rsid w:val="001C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me.org/cme-providers/first-time-applic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me.org/cme-providers/reaccreditation/progress-repor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me.org/cme-providers/reaccreditation/progress-repor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ccme.org/requirements" TargetMode="External"/><Relationship Id="rId10" Type="http://schemas.openxmlformats.org/officeDocument/2006/relationships/hyperlink" Target="http://www.accme.org/requirements/accreditation-requirements-cme-providers/policies-and-definitions/joint-provid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me.org/requirements/accreditation-requirements-cme-providers/standards-for-commercial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Symmes</dc:creator>
  <cp:keywords/>
  <dc:description/>
  <cp:lastModifiedBy>Cheryl Stearley</cp:lastModifiedBy>
  <cp:revision>2</cp:revision>
  <cp:lastPrinted>2017-06-28T19:54:00Z</cp:lastPrinted>
  <dcterms:created xsi:type="dcterms:W3CDTF">2017-06-28T19:53:00Z</dcterms:created>
  <dcterms:modified xsi:type="dcterms:W3CDTF">2017-06-28T19:54:00Z</dcterms:modified>
</cp:coreProperties>
</file>